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111B" w14:textId="4ABD0D60" w:rsidR="003C011A" w:rsidRDefault="003C011A" w:rsidP="00527C8D">
      <w:pPr>
        <w:spacing w:after="0"/>
        <w:rPr>
          <w:b/>
          <w:bCs/>
          <w:sz w:val="28"/>
          <w:szCs w:val="28"/>
        </w:rPr>
      </w:pPr>
      <w:r w:rsidRPr="00DF11E1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3A92F" wp14:editId="073E4D24">
                <wp:simplePos x="0" y="0"/>
                <wp:positionH relativeFrom="margin">
                  <wp:align>right</wp:align>
                </wp:positionH>
                <wp:positionV relativeFrom="paragraph">
                  <wp:posOffset>11126</wp:posOffset>
                </wp:positionV>
                <wp:extent cx="2218055" cy="1404620"/>
                <wp:effectExtent l="0" t="0" r="0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AD14" w14:textId="7C12B50A" w:rsidR="003C011A" w:rsidRPr="000606B1" w:rsidRDefault="003C011A" w:rsidP="003C011A">
                            <w:pPr>
                              <w:spacing w:after="0"/>
                            </w:pPr>
                            <w:bookmarkStart w:id="0" w:name="_Hlk151027045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C08A2" wp14:editId="46E6FEEE">
                                  <wp:extent cx="1959442" cy="455710"/>
                                  <wp:effectExtent l="0" t="0" r="3175" b="190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9442" cy="45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3A9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3.45pt;margin-top:.9pt;width:174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mgDg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" stroked="f">
                <v:textbox style="mso-fit-shape-to-text:t">
                  <w:txbxContent>
                    <w:p w14:paraId="33E8AD14" w14:textId="7C12B50A" w:rsidR="003C011A" w:rsidRPr="000606B1" w:rsidRDefault="003C011A" w:rsidP="003C011A">
                      <w:pPr>
                        <w:spacing w:after="0"/>
                      </w:pPr>
                      <w:bookmarkStart w:id="1" w:name="_Hlk151027045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424C08A2" wp14:editId="46E6FEEE">
                            <wp:extent cx="1959442" cy="455710"/>
                            <wp:effectExtent l="0" t="0" r="3175" b="190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9442" cy="45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C8D">
        <w:rPr>
          <w:b/>
          <w:bCs/>
          <w:sz w:val="28"/>
          <w:szCs w:val="28"/>
        </w:rPr>
        <w:t>Preisblatt für Messstellenbetrieb Strom für</w:t>
      </w:r>
      <w:r w:rsidR="00527C8D">
        <w:rPr>
          <w:b/>
          <w:bCs/>
          <w:sz w:val="28"/>
          <w:szCs w:val="28"/>
        </w:rPr>
        <w:br/>
      </w:r>
      <w:r w:rsidR="00A34B6C">
        <w:rPr>
          <w:b/>
          <w:bCs/>
          <w:sz w:val="28"/>
          <w:szCs w:val="28"/>
        </w:rPr>
        <w:t>intelligente Messsysteme</w:t>
      </w:r>
    </w:p>
    <w:p w14:paraId="629EF3B7" w14:textId="0FEFDE3E" w:rsidR="00527C8D" w:rsidRPr="00527C8D" w:rsidRDefault="00527C8D" w:rsidP="00527C8D">
      <w:pPr>
        <w:spacing w:after="0"/>
        <w:rPr>
          <w:b/>
          <w:bCs/>
        </w:rPr>
      </w:pPr>
      <w:r w:rsidRPr="00527C8D">
        <w:rPr>
          <w:b/>
          <w:bCs/>
        </w:rPr>
        <w:t>(gültig ab 01.01.2024)</w:t>
      </w:r>
    </w:p>
    <w:p w14:paraId="33D5B95A" w14:textId="77777777" w:rsidR="00CF1830" w:rsidRPr="00190608" w:rsidRDefault="00CF1830" w:rsidP="003C011A">
      <w:pPr>
        <w:spacing w:after="0"/>
        <w:rPr>
          <w:sz w:val="16"/>
          <w:szCs w:val="16"/>
        </w:rPr>
      </w:pPr>
    </w:p>
    <w:p w14:paraId="06EE66C0" w14:textId="77777777" w:rsidR="005A541A" w:rsidRDefault="005A541A" w:rsidP="000606B1">
      <w:pPr>
        <w:spacing w:after="0"/>
      </w:pPr>
    </w:p>
    <w:p w14:paraId="7333DCB1" w14:textId="05D11319" w:rsidR="00A34B6C" w:rsidRDefault="00A34B6C" w:rsidP="000606B1">
      <w:pPr>
        <w:spacing w:after="0"/>
      </w:pPr>
      <w:r>
        <w:t xml:space="preserve">In Abhängigkeit der Ausstattung der Messstelle und des Jahresverbrauchs (bei Letztverbrauchern) bzw. der installierten Leistung (bei Anlagenbetreibern nach § 2 </w:t>
      </w:r>
      <w:proofErr w:type="spellStart"/>
      <w:r>
        <w:t>MsbG</w:t>
      </w:r>
      <w:proofErr w:type="spellEnd"/>
      <w:r>
        <w:t>) ergeben sich nach § 29 i. V. m. §§ 30, 32, 34 und 35 Messstellenbetriebsgesetz (</w:t>
      </w:r>
      <w:proofErr w:type="spellStart"/>
      <w:r>
        <w:t>MsbG</w:t>
      </w:r>
      <w:proofErr w:type="spellEnd"/>
      <w:r>
        <w:t>) die in den nachfolgenden Tabellen dargestellten Preise.</w:t>
      </w:r>
    </w:p>
    <w:p w14:paraId="3735F407" w14:textId="77777777" w:rsidR="00A34B6C" w:rsidRDefault="00A34B6C" w:rsidP="000606B1">
      <w:pPr>
        <w:spacing w:after="0"/>
      </w:pPr>
    </w:p>
    <w:p w14:paraId="2BF7DEBD" w14:textId="7309AD97" w:rsidR="00527C8D" w:rsidRPr="00527C8D" w:rsidRDefault="00527C8D" w:rsidP="00527C8D">
      <w:pPr>
        <w:pStyle w:val="Listenabsatz"/>
        <w:numPr>
          <w:ilvl w:val="0"/>
          <w:numId w:val="4"/>
        </w:numPr>
        <w:spacing w:after="0" w:line="360" w:lineRule="auto"/>
        <w:rPr>
          <w:b/>
          <w:bCs/>
        </w:rPr>
      </w:pPr>
      <w:r w:rsidRPr="00527C8D">
        <w:rPr>
          <w:b/>
          <w:bCs/>
        </w:rPr>
        <w:t>Standardleistungen</w:t>
      </w:r>
      <w:r w:rsidR="007271A3">
        <w:rPr>
          <w:b/>
          <w:bCs/>
        </w:rPr>
        <w:t xml:space="preserve"> nach § 34 Abs. 1 </w:t>
      </w:r>
      <w:proofErr w:type="spellStart"/>
      <w:r w:rsidR="007271A3">
        <w:rPr>
          <w:b/>
          <w:bCs/>
        </w:rPr>
        <w:t>MsbG</w:t>
      </w:r>
      <w:proofErr w:type="spellEnd"/>
    </w:p>
    <w:p w14:paraId="589309BA" w14:textId="07C0B4F1" w:rsidR="00527C8D" w:rsidRDefault="00527C8D" w:rsidP="00527C8D">
      <w:pPr>
        <w:spacing w:after="0" w:line="360" w:lineRule="auto"/>
      </w:pPr>
      <w:r>
        <w:t>Das Messtellenbetriebsgesetz (</w:t>
      </w:r>
      <w:proofErr w:type="spellStart"/>
      <w:r>
        <w:t>MsbG</w:t>
      </w:r>
      <w:proofErr w:type="spellEnd"/>
      <w:r>
        <w:t>) sieht für grundzuständige Messstellenbetreiber folgende Preisobergrenzen für den Messstellenbetrieb vor:</w:t>
      </w:r>
    </w:p>
    <w:p w14:paraId="487B02C0" w14:textId="3E7B2B34" w:rsidR="007271A3" w:rsidRPr="007271A3" w:rsidRDefault="007271A3" w:rsidP="007271A3">
      <w:pPr>
        <w:pStyle w:val="Listenabsatz"/>
        <w:numPr>
          <w:ilvl w:val="0"/>
          <w:numId w:val="5"/>
        </w:numPr>
        <w:spacing w:after="0" w:line="360" w:lineRule="auto"/>
        <w:rPr>
          <w:u w:val="single"/>
        </w:rPr>
      </w:pPr>
      <w:r w:rsidRPr="007271A3">
        <w:rPr>
          <w:u w:val="single"/>
        </w:rPr>
        <w:t>Letztverbraucher mit einem Jahresstromverbrauch von über 6.000 kWh</w:t>
      </w:r>
    </w:p>
    <w:tbl>
      <w:tblPr>
        <w:tblStyle w:val="Gitternetztabelle4Akzent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1276"/>
        <w:gridCol w:w="1269"/>
      </w:tblGrid>
      <w:tr w:rsidR="007271A3" w14:paraId="221BA0AA" w14:textId="06529342" w:rsidTr="00395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43DCEFD5" w14:textId="0AFFA577" w:rsidR="007271A3" w:rsidRPr="00551D53" w:rsidRDefault="007271A3" w:rsidP="00527C8D">
            <w:pPr>
              <w:spacing w:line="360" w:lineRule="auto"/>
              <w:rPr>
                <w:b w:val="0"/>
                <w:bCs w:val="0"/>
              </w:rPr>
            </w:pPr>
            <w:r>
              <w:t>Letztverbraucher mit einem Jahresverbrauch von (Angaben in kWh)</w:t>
            </w:r>
          </w:p>
        </w:tc>
        <w:tc>
          <w:tcPr>
            <w:tcW w:w="5238" w:type="dxa"/>
            <w:gridSpan w:val="4"/>
          </w:tcPr>
          <w:p w14:paraId="28E7FA68" w14:textId="478ACDB6" w:rsidR="007271A3" w:rsidRDefault="007271A3" w:rsidP="007271A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Messstellenbetrieb in €/Jahr je Messlokation</w:t>
            </w:r>
          </w:p>
        </w:tc>
      </w:tr>
      <w:tr w:rsidR="007271A3" w14:paraId="30677C93" w14:textId="667E40CB" w:rsidTr="003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18EF52B5" w14:textId="77777777" w:rsidR="007271A3" w:rsidRDefault="007271A3" w:rsidP="00527C8D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14:paraId="5395AF00" w14:textId="7C79C53B" w:rsidR="007271A3" w:rsidRPr="007271A3" w:rsidRDefault="007271A3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71A3">
              <w:rPr>
                <w:b/>
                <w:bCs/>
              </w:rPr>
              <w:t>Anschlussnutzer</w:t>
            </w:r>
          </w:p>
        </w:tc>
        <w:tc>
          <w:tcPr>
            <w:tcW w:w="2545" w:type="dxa"/>
            <w:gridSpan w:val="2"/>
          </w:tcPr>
          <w:p w14:paraId="1488A3DC" w14:textId="27CD5D3F" w:rsidR="007271A3" w:rsidRPr="007271A3" w:rsidRDefault="007271A3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71A3">
              <w:rPr>
                <w:b/>
                <w:bCs/>
              </w:rPr>
              <w:t>Netzbetreiber</w:t>
            </w:r>
          </w:p>
        </w:tc>
      </w:tr>
      <w:tr w:rsidR="007271A3" w14:paraId="5FDF56B6" w14:textId="5902E8EA" w:rsidTr="00395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0D22EA9F" w14:textId="1BABCEA0" w:rsidR="007271A3" w:rsidRDefault="007271A3" w:rsidP="00527C8D">
            <w:pPr>
              <w:spacing w:line="360" w:lineRule="auto"/>
            </w:pPr>
          </w:p>
        </w:tc>
        <w:tc>
          <w:tcPr>
            <w:tcW w:w="1276" w:type="dxa"/>
            <w:shd w:val="clear" w:color="auto" w:fill="FFE4C9" w:themeFill="accent2" w:themeFillTint="33"/>
          </w:tcPr>
          <w:p w14:paraId="0F8F99BA" w14:textId="6DE89908" w:rsidR="007271A3" w:rsidRDefault="007271A3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netto</w:t>
            </w:r>
            <w:r w:rsidRPr="00551D53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E4C9" w:themeFill="accent2" w:themeFillTint="33"/>
          </w:tcPr>
          <w:p w14:paraId="13091E62" w14:textId="75E5F935" w:rsidR="007271A3" w:rsidRDefault="007271A3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brutto</w:t>
            </w:r>
            <w:r w:rsidRPr="00551D53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E4C9" w:themeFill="accent2" w:themeFillTint="33"/>
          </w:tcPr>
          <w:p w14:paraId="1E04418B" w14:textId="3528452C" w:rsidR="007271A3" w:rsidRDefault="007271A3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netto</w:t>
            </w:r>
            <w:r w:rsidRPr="00551D53">
              <w:rPr>
                <w:vertAlign w:val="superscript"/>
              </w:rPr>
              <w:t>1</w:t>
            </w:r>
          </w:p>
        </w:tc>
        <w:tc>
          <w:tcPr>
            <w:tcW w:w="1269" w:type="dxa"/>
            <w:shd w:val="clear" w:color="auto" w:fill="FFE4C9" w:themeFill="accent2" w:themeFillTint="33"/>
          </w:tcPr>
          <w:p w14:paraId="5FAE4979" w14:textId="2C3C26FA" w:rsidR="007271A3" w:rsidRDefault="007271A3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brutto</w:t>
            </w:r>
            <w:r w:rsidRPr="00551D53">
              <w:rPr>
                <w:vertAlign w:val="superscript"/>
              </w:rPr>
              <w:t>2</w:t>
            </w:r>
          </w:p>
        </w:tc>
      </w:tr>
      <w:tr w:rsidR="007271A3" w14:paraId="2B3B43FB" w14:textId="77777777" w:rsidTr="003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2B595E7C" w14:textId="1BA7F4EE" w:rsidR="007271A3" w:rsidRDefault="00395AEC" w:rsidP="00527C8D">
            <w:pPr>
              <w:spacing w:line="360" w:lineRule="auto"/>
            </w:pPr>
            <w:r>
              <w:t xml:space="preserve">&gt; 6.000 bis </w:t>
            </w:r>
            <w:r>
              <w:rPr>
                <w:rFonts w:cstheme="minorHAnsi"/>
              </w:rPr>
              <w:t>≤</w:t>
            </w:r>
            <w:r>
              <w:t xml:space="preserve"> 10.000</w:t>
            </w:r>
          </w:p>
        </w:tc>
        <w:tc>
          <w:tcPr>
            <w:tcW w:w="1276" w:type="dxa"/>
            <w:shd w:val="clear" w:color="auto" w:fill="auto"/>
          </w:tcPr>
          <w:p w14:paraId="1E8A7AE3" w14:textId="15EA5D0B" w:rsidR="007271A3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16,81</w:t>
            </w:r>
          </w:p>
        </w:tc>
        <w:tc>
          <w:tcPr>
            <w:tcW w:w="1417" w:type="dxa"/>
            <w:shd w:val="clear" w:color="auto" w:fill="auto"/>
          </w:tcPr>
          <w:p w14:paraId="41992703" w14:textId="21B85B91" w:rsidR="007271A3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</w:t>
            </w:r>
          </w:p>
        </w:tc>
        <w:tc>
          <w:tcPr>
            <w:tcW w:w="1276" w:type="dxa"/>
            <w:shd w:val="clear" w:color="auto" w:fill="auto"/>
          </w:tcPr>
          <w:p w14:paraId="2B7A820C" w14:textId="55AC250D" w:rsidR="007271A3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15DBC5AD" w14:textId="3B0F96B0" w:rsidR="007271A3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</w:tr>
      <w:tr w:rsidR="00395AEC" w14:paraId="774EE03D" w14:textId="77777777" w:rsidTr="00395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63B52C5A" w14:textId="5F1D45CF" w:rsidR="00395AEC" w:rsidRDefault="00395AEC" w:rsidP="00527C8D">
            <w:pPr>
              <w:spacing w:line="360" w:lineRule="auto"/>
            </w:pPr>
            <w:r>
              <w:t xml:space="preserve">&gt; 10.000 bis </w:t>
            </w:r>
            <w:r>
              <w:rPr>
                <w:rFonts w:cstheme="minorHAnsi"/>
              </w:rPr>
              <w:t>≤</w:t>
            </w:r>
            <w:r>
              <w:t xml:space="preserve"> 20.000</w:t>
            </w:r>
          </w:p>
        </w:tc>
        <w:tc>
          <w:tcPr>
            <w:tcW w:w="1276" w:type="dxa"/>
            <w:shd w:val="clear" w:color="auto" w:fill="auto"/>
          </w:tcPr>
          <w:p w14:paraId="38735B01" w14:textId="72D82E40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42,02</w:t>
            </w:r>
          </w:p>
        </w:tc>
        <w:tc>
          <w:tcPr>
            <w:tcW w:w="1417" w:type="dxa"/>
            <w:shd w:val="clear" w:color="auto" w:fill="auto"/>
          </w:tcPr>
          <w:p w14:paraId="3C76F4D4" w14:textId="3CFD59FC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50,00</w:t>
            </w:r>
          </w:p>
        </w:tc>
        <w:tc>
          <w:tcPr>
            <w:tcW w:w="1276" w:type="dxa"/>
            <w:shd w:val="clear" w:color="auto" w:fill="auto"/>
          </w:tcPr>
          <w:p w14:paraId="3A9B3D16" w14:textId="42ECE59F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70834730" w14:textId="3151978D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80,00</w:t>
            </w:r>
          </w:p>
        </w:tc>
      </w:tr>
      <w:tr w:rsidR="00395AEC" w14:paraId="24DC8DD0" w14:textId="77777777" w:rsidTr="003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39296038" w14:textId="0C019867" w:rsidR="00395AEC" w:rsidRDefault="00395AEC" w:rsidP="00527C8D">
            <w:pPr>
              <w:spacing w:line="360" w:lineRule="auto"/>
            </w:pPr>
            <w:r>
              <w:t xml:space="preserve">&gt; 20.000 bis </w:t>
            </w:r>
            <w:r>
              <w:rPr>
                <w:rFonts w:cstheme="minorHAnsi"/>
              </w:rPr>
              <w:t>≤</w:t>
            </w:r>
            <w:r>
              <w:t xml:space="preserve"> 50.000</w:t>
            </w:r>
          </w:p>
        </w:tc>
        <w:tc>
          <w:tcPr>
            <w:tcW w:w="1276" w:type="dxa"/>
            <w:shd w:val="clear" w:color="auto" w:fill="auto"/>
          </w:tcPr>
          <w:p w14:paraId="035D0A08" w14:textId="6EAD7111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75,63</w:t>
            </w:r>
          </w:p>
        </w:tc>
        <w:tc>
          <w:tcPr>
            <w:tcW w:w="1417" w:type="dxa"/>
            <w:shd w:val="clear" w:color="auto" w:fill="auto"/>
          </w:tcPr>
          <w:p w14:paraId="23568589" w14:textId="4B8E7A01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90,00</w:t>
            </w:r>
          </w:p>
        </w:tc>
        <w:tc>
          <w:tcPr>
            <w:tcW w:w="1276" w:type="dxa"/>
            <w:shd w:val="clear" w:color="auto" w:fill="auto"/>
          </w:tcPr>
          <w:p w14:paraId="494DAE30" w14:textId="0C88B4A1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442043F9" w14:textId="76AD4C1E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</w:tr>
      <w:tr w:rsidR="00395AEC" w14:paraId="797C7ECE" w14:textId="77777777" w:rsidTr="00395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5440FFED" w14:textId="673E91DC" w:rsidR="00395AEC" w:rsidRDefault="00395AEC" w:rsidP="00527C8D">
            <w:pPr>
              <w:spacing w:line="360" w:lineRule="auto"/>
            </w:pPr>
            <w:r>
              <w:t xml:space="preserve">&gt; 50.000 bis </w:t>
            </w:r>
            <w:r>
              <w:rPr>
                <w:rFonts w:cstheme="minorHAnsi"/>
              </w:rPr>
              <w:t>≤</w:t>
            </w:r>
            <w:r>
              <w:t xml:space="preserve"> 100.000</w:t>
            </w:r>
          </w:p>
        </w:tc>
        <w:tc>
          <w:tcPr>
            <w:tcW w:w="1276" w:type="dxa"/>
            <w:shd w:val="clear" w:color="auto" w:fill="auto"/>
          </w:tcPr>
          <w:p w14:paraId="5CA70DBF" w14:textId="69474E2A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100,84</w:t>
            </w:r>
          </w:p>
        </w:tc>
        <w:tc>
          <w:tcPr>
            <w:tcW w:w="1417" w:type="dxa"/>
            <w:shd w:val="clear" w:color="auto" w:fill="auto"/>
          </w:tcPr>
          <w:p w14:paraId="0FC752BF" w14:textId="09FFA6C7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120,00</w:t>
            </w:r>
          </w:p>
        </w:tc>
        <w:tc>
          <w:tcPr>
            <w:tcW w:w="1276" w:type="dxa"/>
            <w:shd w:val="clear" w:color="auto" w:fill="auto"/>
          </w:tcPr>
          <w:p w14:paraId="6CBE349D" w14:textId="66143439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57F552F6" w14:textId="186F586E" w:rsidR="00395AEC" w:rsidRDefault="00395AEC" w:rsidP="00551D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80,00</w:t>
            </w:r>
          </w:p>
        </w:tc>
      </w:tr>
      <w:tr w:rsidR="00395AEC" w14:paraId="3EDC4B92" w14:textId="77777777" w:rsidTr="003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672FE453" w14:textId="57EA6954" w:rsidR="00395AEC" w:rsidRDefault="00395AEC" w:rsidP="00395AEC">
            <w:pPr>
              <w:spacing w:line="360" w:lineRule="auto"/>
            </w:pPr>
            <w:r>
              <w:t>Verbrauchseinrichtung nach § 14a EnWG</w:t>
            </w:r>
            <w:r w:rsidRPr="00395AEC"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35736DE" w14:textId="71B56D74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42,02</w:t>
            </w:r>
          </w:p>
        </w:tc>
        <w:tc>
          <w:tcPr>
            <w:tcW w:w="1417" w:type="dxa"/>
            <w:shd w:val="clear" w:color="auto" w:fill="auto"/>
          </w:tcPr>
          <w:p w14:paraId="33E0C003" w14:textId="46878219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50,00</w:t>
            </w:r>
          </w:p>
        </w:tc>
        <w:tc>
          <w:tcPr>
            <w:tcW w:w="1276" w:type="dxa"/>
            <w:shd w:val="clear" w:color="auto" w:fill="auto"/>
          </w:tcPr>
          <w:p w14:paraId="5032F301" w14:textId="000A3C4B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4DA144E1" w14:textId="562096B7" w:rsidR="00395AEC" w:rsidRDefault="00395AEC" w:rsidP="00551D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</w:tr>
    </w:tbl>
    <w:p w14:paraId="604C32DF" w14:textId="77777777" w:rsidR="00527C8D" w:rsidRDefault="00527C8D" w:rsidP="00527C8D">
      <w:pPr>
        <w:spacing w:after="0" w:line="360" w:lineRule="auto"/>
      </w:pPr>
    </w:p>
    <w:p w14:paraId="4B3F9FAF" w14:textId="7004582E" w:rsidR="00F74D3E" w:rsidRPr="00F74D3E" w:rsidRDefault="00F74D3E" w:rsidP="00F74D3E">
      <w:pPr>
        <w:pStyle w:val="Listenabsatz"/>
        <w:numPr>
          <w:ilvl w:val="0"/>
          <w:numId w:val="5"/>
        </w:numPr>
        <w:spacing w:after="0" w:line="360" w:lineRule="auto"/>
        <w:rPr>
          <w:u w:val="single"/>
        </w:rPr>
      </w:pPr>
      <w:r w:rsidRPr="00F74D3E">
        <w:rPr>
          <w:u w:val="single"/>
        </w:rPr>
        <w:t xml:space="preserve">Anlagenbetreiber nach § 2 </w:t>
      </w:r>
      <w:proofErr w:type="spellStart"/>
      <w:r w:rsidRPr="00F74D3E">
        <w:rPr>
          <w:u w:val="single"/>
        </w:rPr>
        <w:t>MsbG</w:t>
      </w:r>
      <w:proofErr w:type="spellEnd"/>
      <w:r w:rsidRPr="00F74D3E">
        <w:rPr>
          <w:u w:val="single"/>
        </w:rPr>
        <w:t xml:space="preserve"> mit einer installierten Leistung über 7 kW</w:t>
      </w:r>
    </w:p>
    <w:tbl>
      <w:tblPr>
        <w:tblStyle w:val="Gitternetztabelle4Akzent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1276"/>
        <w:gridCol w:w="1269"/>
      </w:tblGrid>
      <w:tr w:rsidR="00F74D3E" w14:paraId="2235A100" w14:textId="77777777" w:rsidTr="00574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13310E04" w14:textId="57DA8020" w:rsidR="00F74D3E" w:rsidRPr="00551D53" w:rsidRDefault="00976AA4" w:rsidP="0057496C">
            <w:pPr>
              <w:spacing w:line="360" w:lineRule="auto"/>
              <w:rPr>
                <w:b w:val="0"/>
                <w:bCs w:val="0"/>
              </w:rPr>
            </w:pPr>
            <w:r>
              <w:t>Betreiber EEG-/KWKG-Anlagen mit einer installierten Leistung von</w:t>
            </w:r>
            <w:r w:rsidR="00F74D3E">
              <w:t xml:space="preserve"> (Angaben in kW)</w:t>
            </w:r>
          </w:p>
        </w:tc>
        <w:tc>
          <w:tcPr>
            <w:tcW w:w="5238" w:type="dxa"/>
            <w:gridSpan w:val="4"/>
          </w:tcPr>
          <w:p w14:paraId="5BF35CA2" w14:textId="77777777" w:rsidR="00F74D3E" w:rsidRDefault="00F74D3E" w:rsidP="005749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Messstellenbetrieb in €/Jahr je Messlokation</w:t>
            </w:r>
          </w:p>
        </w:tc>
      </w:tr>
      <w:tr w:rsidR="00F74D3E" w14:paraId="248B5F34" w14:textId="77777777" w:rsidTr="00574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7E6E30EC" w14:textId="77777777" w:rsidR="00F74D3E" w:rsidRDefault="00F74D3E" w:rsidP="0057496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14:paraId="6457C937" w14:textId="77777777" w:rsidR="00F74D3E" w:rsidRPr="007271A3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71A3">
              <w:rPr>
                <w:b/>
                <w:bCs/>
              </w:rPr>
              <w:t>Anschlussnutzer</w:t>
            </w:r>
          </w:p>
        </w:tc>
        <w:tc>
          <w:tcPr>
            <w:tcW w:w="2545" w:type="dxa"/>
            <w:gridSpan w:val="2"/>
          </w:tcPr>
          <w:p w14:paraId="16CF2A02" w14:textId="77777777" w:rsidR="00F74D3E" w:rsidRPr="007271A3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71A3">
              <w:rPr>
                <w:b/>
                <w:bCs/>
              </w:rPr>
              <w:t>Netzbetreiber</w:t>
            </w:r>
          </w:p>
        </w:tc>
      </w:tr>
      <w:tr w:rsidR="00F74D3E" w14:paraId="36DFA4FD" w14:textId="77777777" w:rsidTr="00574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11D00484" w14:textId="77777777" w:rsidR="00F74D3E" w:rsidRDefault="00F74D3E" w:rsidP="0057496C">
            <w:pPr>
              <w:spacing w:line="360" w:lineRule="auto"/>
            </w:pPr>
          </w:p>
        </w:tc>
        <w:tc>
          <w:tcPr>
            <w:tcW w:w="1276" w:type="dxa"/>
            <w:shd w:val="clear" w:color="auto" w:fill="FFE4C9" w:themeFill="accent2" w:themeFillTint="33"/>
          </w:tcPr>
          <w:p w14:paraId="7449FF63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netto</w:t>
            </w:r>
            <w:r w:rsidRPr="00551D53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E4C9" w:themeFill="accent2" w:themeFillTint="33"/>
          </w:tcPr>
          <w:p w14:paraId="55D76516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brutto</w:t>
            </w:r>
            <w:r w:rsidRPr="00551D53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E4C9" w:themeFill="accent2" w:themeFillTint="33"/>
          </w:tcPr>
          <w:p w14:paraId="434DDB07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netto</w:t>
            </w:r>
            <w:r w:rsidRPr="00551D53">
              <w:rPr>
                <w:vertAlign w:val="superscript"/>
              </w:rPr>
              <w:t>1</w:t>
            </w:r>
          </w:p>
        </w:tc>
        <w:tc>
          <w:tcPr>
            <w:tcW w:w="1269" w:type="dxa"/>
            <w:shd w:val="clear" w:color="auto" w:fill="FFE4C9" w:themeFill="accent2" w:themeFillTint="33"/>
          </w:tcPr>
          <w:p w14:paraId="1CD873D0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brutto</w:t>
            </w:r>
            <w:r w:rsidRPr="00551D53">
              <w:rPr>
                <w:vertAlign w:val="superscript"/>
              </w:rPr>
              <w:t>2</w:t>
            </w:r>
          </w:p>
        </w:tc>
      </w:tr>
      <w:tr w:rsidR="00F74D3E" w14:paraId="3EA1DD0F" w14:textId="77777777" w:rsidTr="00574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3CC9611E" w14:textId="1F226BDC" w:rsidR="00F74D3E" w:rsidRDefault="00F74D3E" w:rsidP="0057496C">
            <w:pPr>
              <w:spacing w:line="360" w:lineRule="auto"/>
            </w:pPr>
            <w:r>
              <w:t xml:space="preserve">&gt; </w:t>
            </w:r>
            <w:r w:rsidR="009B09AE">
              <w:t>7</w:t>
            </w:r>
            <w:r>
              <w:t xml:space="preserve"> bis </w:t>
            </w:r>
            <w:r>
              <w:rPr>
                <w:rFonts w:cstheme="minorHAnsi"/>
              </w:rPr>
              <w:t>≤</w:t>
            </w:r>
            <w:r>
              <w:t xml:space="preserve"> </w:t>
            </w:r>
            <w:r w:rsidR="009B09AE">
              <w:t>15</w:t>
            </w:r>
          </w:p>
        </w:tc>
        <w:tc>
          <w:tcPr>
            <w:tcW w:w="1276" w:type="dxa"/>
            <w:shd w:val="clear" w:color="auto" w:fill="auto"/>
          </w:tcPr>
          <w:p w14:paraId="149F8242" w14:textId="77777777" w:rsidR="00F74D3E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16,81</w:t>
            </w:r>
          </w:p>
        </w:tc>
        <w:tc>
          <w:tcPr>
            <w:tcW w:w="1417" w:type="dxa"/>
            <w:shd w:val="clear" w:color="auto" w:fill="auto"/>
          </w:tcPr>
          <w:p w14:paraId="4654E6F5" w14:textId="77777777" w:rsidR="00F74D3E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</w:t>
            </w:r>
          </w:p>
        </w:tc>
        <w:tc>
          <w:tcPr>
            <w:tcW w:w="1276" w:type="dxa"/>
            <w:shd w:val="clear" w:color="auto" w:fill="auto"/>
          </w:tcPr>
          <w:p w14:paraId="422D1BB2" w14:textId="77777777" w:rsidR="00F74D3E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578C5B92" w14:textId="77777777" w:rsidR="00F74D3E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</w:tr>
      <w:tr w:rsidR="00F74D3E" w14:paraId="004BB6C3" w14:textId="77777777" w:rsidTr="00574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62AA6D4D" w14:textId="0DC571CA" w:rsidR="00F74D3E" w:rsidRDefault="00F74D3E" w:rsidP="0057496C">
            <w:pPr>
              <w:spacing w:line="360" w:lineRule="auto"/>
            </w:pPr>
            <w:r>
              <w:t xml:space="preserve">&gt; </w:t>
            </w:r>
            <w:r w:rsidR="009B09AE">
              <w:t>15</w:t>
            </w:r>
            <w:r>
              <w:t xml:space="preserve"> bis </w:t>
            </w:r>
            <w:r>
              <w:rPr>
                <w:rFonts w:cstheme="minorHAnsi"/>
              </w:rPr>
              <w:t>≤</w:t>
            </w:r>
            <w:r>
              <w:t xml:space="preserve"> </w:t>
            </w:r>
            <w:r w:rsidR="009B09AE">
              <w:t>25</w:t>
            </w:r>
          </w:p>
        </w:tc>
        <w:tc>
          <w:tcPr>
            <w:tcW w:w="1276" w:type="dxa"/>
            <w:shd w:val="clear" w:color="auto" w:fill="auto"/>
          </w:tcPr>
          <w:p w14:paraId="3F300F8B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42,02</w:t>
            </w:r>
          </w:p>
        </w:tc>
        <w:tc>
          <w:tcPr>
            <w:tcW w:w="1417" w:type="dxa"/>
            <w:shd w:val="clear" w:color="auto" w:fill="auto"/>
          </w:tcPr>
          <w:p w14:paraId="31D128E7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50,00</w:t>
            </w:r>
          </w:p>
        </w:tc>
        <w:tc>
          <w:tcPr>
            <w:tcW w:w="1276" w:type="dxa"/>
            <w:shd w:val="clear" w:color="auto" w:fill="auto"/>
          </w:tcPr>
          <w:p w14:paraId="401B04DA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6795FE5A" w14:textId="77777777" w:rsidR="00F74D3E" w:rsidRDefault="00F74D3E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80,00</w:t>
            </w:r>
          </w:p>
        </w:tc>
      </w:tr>
      <w:tr w:rsidR="00F74D3E" w14:paraId="6478CED1" w14:textId="77777777" w:rsidTr="00574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3AF182D" w14:textId="265090B1" w:rsidR="00F74D3E" w:rsidRDefault="00F74D3E" w:rsidP="0057496C">
            <w:pPr>
              <w:spacing w:line="360" w:lineRule="auto"/>
            </w:pPr>
            <w:r>
              <w:t xml:space="preserve">&gt; </w:t>
            </w:r>
            <w:r w:rsidR="009B09AE">
              <w:t>25</w:t>
            </w:r>
            <w:r>
              <w:t xml:space="preserve"> bis </w:t>
            </w:r>
            <w:r>
              <w:rPr>
                <w:rFonts w:cstheme="minorHAnsi"/>
              </w:rPr>
              <w:t>≤</w:t>
            </w:r>
            <w:r>
              <w:t xml:space="preserve"> </w:t>
            </w:r>
            <w:r w:rsidR="009B09AE">
              <w:t>100</w:t>
            </w:r>
          </w:p>
        </w:tc>
        <w:tc>
          <w:tcPr>
            <w:tcW w:w="1276" w:type="dxa"/>
            <w:shd w:val="clear" w:color="auto" w:fill="auto"/>
          </w:tcPr>
          <w:p w14:paraId="1F3F5F2D" w14:textId="01251268" w:rsidR="00F74D3E" w:rsidRDefault="009B09A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100,84</w:t>
            </w:r>
          </w:p>
        </w:tc>
        <w:tc>
          <w:tcPr>
            <w:tcW w:w="1417" w:type="dxa"/>
            <w:shd w:val="clear" w:color="auto" w:fill="auto"/>
          </w:tcPr>
          <w:p w14:paraId="5D3307B4" w14:textId="7DE3816E" w:rsidR="00F74D3E" w:rsidRDefault="009B09A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F74D3E">
              <w:t>0,00</w:t>
            </w:r>
          </w:p>
        </w:tc>
        <w:tc>
          <w:tcPr>
            <w:tcW w:w="1276" w:type="dxa"/>
            <w:shd w:val="clear" w:color="auto" w:fill="auto"/>
          </w:tcPr>
          <w:p w14:paraId="09BB73BD" w14:textId="77777777" w:rsidR="00F74D3E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67,23</w:t>
            </w:r>
          </w:p>
        </w:tc>
        <w:tc>
          <w:tcPr>
            <w:tcW w:w="1269" w:type="dxa"/>
            <w:shd w:val="clear" w:color="auto" w:fill="auto"/>
          </w:tcPr>
          <w:p w14:paraId="7753C9FC" w14:textId="77777777" w:rsidR="00F74D3E" w:rsidRDefault="00F74D3E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</w:tr>
    </w:tbl>
    <w:p w14:paraId="764BD196" w14:textId="77777777" w:rsidR="00F74D3E" w:rsidRDefault="00F74D3E" w:rsidP="00527C8D">
      <w:pPr>
        <w:spacing w:after="0" w:line="360" w:lineRule="auto"/>
      </w:pPr>
    </w:p>
    <w:p w14:paraId="0295F76A" w14:textId="1470188D" w:rsidR="008F00E6" w:rsidRDefault="00527C8D" w:rsidP="00527C8D">
      <w:pPr>
        <w:spacing w:after="0" w:line="360" w:lineRule="auto"/>
      </w:pPr>
      <w:r>
        <w:t xml:space="preserve">Der Preis beinhaltet die jährliche Bereitstellung der Messwerte ohne Preiskomponenten für Zusatzleistungen. </w:t>
      </w:r>
      <w:r w:rsidR="009B09AE">
        <w:t>Das intelligente Messsystem</w:t>
      </w:r>
      <w:r>
        <w:t xml:space="preserve"> an der Messlokation des Kunden dient zur Ermittlung der entnommenen und eingespeisten Energiemengen. </w:t>
      </w:r>
      <w:r w:rsidR="008F00E6">
        <w:t>Die erfassten Werte dienen der Abrechnung des Netzentgeltes und der Energiemengenbilanzierung gegenüber den betreffenden Marktpartnern. D</w:t>
      </w:r>
      <w:r w:rsidR="009B09AE">
        <w:t xml:space="preserve">as intelligente Messsystem </w:t>
      </w:r>
      <w:r w:rsidR="008F00E6">
        <w:t>muss den eichgesetzlichen Vorschriften genügen. Sie steht im Eigentum der Stadtwerke Schwarzenberg GmbH (SWSZB).</w:t>
      </w:r>
      <w:r w:rsidR="009B09AE">
        <w:t xml:space="preserve"> </w:t>
      </w:r>
      <w:r w:rsidR="008F00E6">
        <w:t>Der Zyklus der Messung ist vom Messstellenbetreiber festgelegt.</w:t>
      </w:r>
    </w:p>
    <w:p w14:paraId="7722E027" w14:textId="77777777" w:rsidR="00551D53" w:rsidRDefault="00551D53" w:rsidP="00527C8D">
      <w:pPr>
        <w:spacing w:after="0" w:line="360" w:lineRule="auto"/>
      </w:pPr>
    </w:p>
    <w:p w14:paraId="17DA3AC6" w14:textId="77777777" w:rsidR="00E72EE6" w:rsidRDefault="00E72EE6" w:rsidP="00527C8D">
      <w:pPr>
        <w:spacing w:after="0" w:line="360" w:lineRule="auto"/>
      </w:pPr>
    </w:p>
    <w:p w14:paraId="4E04E25A" w14:textId="778C9977" w:rsidR="00527C8D" w:rsidRPr="00527C8D" w:rsidRDefault="00527C8D" w:rsidP="00527C8D">
      <w:pPr>
        <w:pStyle w:val="Listenabsatz"/>
        <w:numPr>
          <w:ilvl w:val="0"/>
          <w:numId w:val="4"/>
        </w:numPr>
        <w:spacing w:after="0" w:line="360" w:lineRule="auto"/>
        <w:rPr>
          <w:b/>
          <w:bCs/>
        </w:rPr>
      </w:pPr>
      <w:r w:rsidRPr="00527C8D">
        <w:rPr>
          <w:b/>
          <w:bCs/>
        </w:rPr>
        <w:t>Zusatzleistungen</w:t>
      </w:r>
    </w:p>
    <w:p w14:paraId="3C5519E4" w14:textId="7CF0A416" w:rsidR="00527C8D" w:rsidRDefault="00DF13AA" w:rsidP="00527C8D">
      <w:pPr>
        <w:spacing w:after="0" w:line="360" w:lineRule="auto"/>
      </w:pPr>
      <w:r>
        <w:t xml:space="preserve">Zusatzleistungen </w:t>
      </w:r>
      <w:r w:rsidR="00EC5278">
        <w:t>nach</w:t>
      </w:r>
      <w:r>
        <w:t xml:space="preserve"> § 34 Abs. </w:t>
      </w:r>
      <w:r w:rsidR="00EC5278">
        <w:t>2</w:t>
      </w:r>
      <w:r>
        <w:t xml:space="preserve"> </w:t>
      </w:r>
      <w:proofErr w:type="spellStart"/>
      <w:r>
        <w:t>MsbG</w:t>
      </w:r>
      <w:proofErr w:type="spellEnd"/>
      <w:r w:rsidR="00EC5278">
        <w:t xml:space="preserve"> werden 2024 aufgrund der technischen Nichtverfügbarkeit noch nicht angeboten.</w:t>
      </w:r>
    </w:p>
    <w:p w14:paraId="790A92CF" w14:textId="6EE18591" w:rsidR="00EC5278" w:rsidRDefault="00EC5278" w:rsidP="00527C8D">
      <w:pPr>
        <w:spacing w:after="0" w:line="360" w:lineRule="auto"/>
      </w:pPr>
      <w:r>
        <w:t xml:space="preserve">Derzeit werden folgende Zusatzleistungen gemäß § 34 Abs. 3 </w:t>
      </w:r>
      <w:proofErr w:type="spellStart"/>
      <w:r>
        <w:t>MsbG</w:t>
      </w:r>
      <w:proofErr w:type="spellEnd"/>
      <w:r>
        <w:t xml:space="preserve"> angeboten:</w:t>
      </w:r>
    </w:p>
    <w:tbl>
      <w:tblPr>
        <w:tblStyle w:val="Gitternetztabelle4Akzent2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119"/>
      </w:tblGrid>
      <w:tr w:rsidR="00DF13AA" w14:paraId="5B75ABF4" w14:textId="77777777" w:rsidTr="00574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 w:val="restart"/>
          </w:tcPr>
          <w:p w14:paraId="5A6411DE" w14:textId="456B177C" w:rsidR="00DF13AA" w:rsidRPr="00551D53" w:rsidRDefault="00DF13AA" w:rsidP="0057496C">
            <w:pPr>
              <w:spacing w:line="360" w:lineRule="auto"/>
              <w:rPr>
                <w:b w:val="0"/>
                <w:bCs w:val="0"/>
              </w:rPr>
            </w:pPr>
            <w:r>
              <w:t>Zusatzleistungen</w:t>
            </w:r>
          </w:p>
        </w:tc>
        <w:tc>
          <w:tcPr>
            <w:tcW w:w="4529" w:type="dxa"/>
            <w:gridSpan w:val="2"/>
          </w:tcPr>
          <w:p w14:paraId="4C0E4B90" w14:textId="7A68BF66" w:rsidR="00DF13AA" w:rsidRDefault="00DF13AA" w:rsidP="00DF13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€/Jahr je Messlokation</w:t>
            </w:r>
          </w:p>
        </w:tc>
      </w:tr>
      <w:tr w:rsidR="00DF13AA" w14:paraId="1A63E6A3" w14:textId="77777777" w:rsidTr="00574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/>
          </w:tcPr>
          <w:p w14:paraId="4C5284E9" w14:textId="77777777" w:rsidR="00DF13AA" w:rsidRDefault="00DF13AA" w:rsidP="0057496C">
            <w:pPr>
              <w:spacing w:line="360" w:lineRule="auto"/>
            </w:pPr>
          </w:p>
        </w:tc>
        <w:tc>
          <w:tcPr>
            <w:tcW w:w="2410" w:type="dxa"/>
          </w:tcPr>
          <w:p w14:paraId="14C1AD3F" w14:textId="77777777" w:rsidR="00DF13AA" w:rsidRDefault="00DF13AA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netto</w:t>
            </w:r>
            <w:r w:rsidRPr="00551D53">
              <w:rPr>
                <w:vertAlign w:val="superscript"/>
              </w:rPr>
              <w:t>1</w:t>
            </w:r>
          </w:p>
        </w:tc>
        <w:tc>
          <w:tcPr>
            <w:tcW w:w="2119" w:type="dxa"/>
          </w:tcPr>
          <w:p w14:paraId="6520121E" w14:textId="77777777" w:rsidR="00DF13AA" w:rsidRDefault="00DF13AA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brutto</w:t>
            </w:r>
            <w:r w:rsidRPr="00551D53">
              <w:rPr>
                <w:vertAlign w:val="superscript"/>
              </w:rPr>
              <w:t>2</w:t>
            </w:r>
          </w:p>
        </w:tc>
      </w:tr>
      <w:tr w:rsidR="00DF13AA" w14:paraId="22E63530" w14:textId="77777777" w:rsidTr="00574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93B79C" w14:textId="75F4FD90" w:rsidR="00DF13AA" w:rsidRDefault="00DF13AA" w:rsidP="0057496C">
            <w:pPr>
              <w:spacing w:line="360" w:lineRule="auto"/>
            </w:pPr>
            <w:r>
              <w:t>Wandler Niederspannung</w:t>
            </w:r>
          </w:p>
        </w:tc>
        <w:tc>
          <w:tcPr>
            <w:tcW w:w="2410" w:type="dxa"/>
          </w:tcPr>
          <w:p w14:paraId="0EF79E96" w14:textId="6E709177" w:rsidR="00DF13AA" w:rsidRDefault="00891D48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22,10</w:t>
            </w:r>
          </w:p>
        </w:tc>
        <w:tc>
          <w:tcPr>
            <w:tcW w:w="2119" w:type="dxa"/>
          </w:tcPr>
          <w:p w14:paraId="4C8B9BD6" w14:textId="522BAA62" w:rsidR="00DF13AA" w:rsidRDefault="00891D48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26,30</w:t>
            </w:r>
          </w:p>
        </w:tc>
      </w:tr>
      <w:tr w:rsidR="00EC5278" w14:paraId="538270DD" w14:textId="77777777" w:rsidTr="00EC5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1A65549C" w14:textId="02967DFD" w:rsidR="00EC5278" w:rsidRDefault="00EC5278" w:rsidP="0057496C">
            <w:pPr>
              <w:spacing w:line="360" w:lineRule="auto"/>
            </w:pPr>
            <w:r>
              <w:t>Wandler Mittelspannung</w:t>
            </w:r>
          </w:p>
        </w:tc>
        <w:tc>
          <w:tcPr>
            <w:tcW w:w="2410" w:type="dxa"/>
            <w:shd w:val="clear" w:color="auto" w:fill="auto"/>
          </w:tcPr>
          <w:p w14:paraId="3C6BB7B2" w14:textId="51566621" w:rsidR="00EC5278" w:rsidRDefault="00891D48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263,30</w:t>
            </w:r>
          </w:p>
        </w:tc>
        <w:tc>
          <w:tcPr>
            <w:tcW w:w="2119" w:type="dxa"/>
            <w:shd w:val="clear" w:color="auto" w:fill="auto"/>
          </w:tcPr>
          <w:p w14:paraId="0B72F089" w14:textId="4BAA36C5" w:rsidR="00EC5278" w:rsidRDefault="00891D48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313,33</w:t>
            </w:r>
          </w:p>
        </w:tc>
      </w:tr>
      <w:tr w:rsidR="00DF13AA" w14:paraId="1AA749A6" w14:textId="77777777" w:rsidTr="00DF1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54400298" w14:textId="27A94C72" w:rsidR="00DF13AA" w:rsidRDefault="00DF13AA" w:rsidP="0057496C">
            <w:pPr>
              <w:spacing w:line="360" w:lineRule="auto"/>
            </w:pPr>
            <w:r>
              <w:t>Tarifschaltgerät</w:t>
            </w:r>
          </w:p>
        </w:tc>
        <w:tc>
          <w:tcPr>
            <w:tcW w:w="2410" w:type="dxa"/>
            <w:shd w:val="clear" w:color="auto" w:fill="auto"/>
          </w:tcPr>
          <w:p w14:paraId="36B06D91" w14:textId="5E1B9C34" w:rsidR="00DF13AA" w:rsidRDefault="00891D48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13,51</w:t>
            </w:r>
          </w:p>
        </w:tc>
        <w:tc>
          <w:tcPr>
            <w:tcW w:w="2119" w:type="dxa"/>
            <w:shd w:val="clear" w:color="auto" w:fill="auto"/>
          </w:tcPr>
          <w:p w14:paraId="2968202E" w14:textId="1698A243" w:rsidR="00DF13AA" w:rsidRDefault="00891D48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16,08</w:t>
            </w:r>
          </w:p>
        </w:tc>
      </w:tr>
    </w:tbl>
    <w:p w14:paraId="4C73ED00" w14:textId="77777777" w:rsidR="00DF13AA" w:rsidRDefault="00DF13AA" w:rsidP="00527C8D">
      <w:pPr>
        <w:spacing w:after="0" w:line="360" w:lineRule="auto"/>
      </w:pPr>
    </w:p>
    <w:tbl>
      <w:tblPr>
        <w:tblStyle w:val="Gitternetztabelle4Akzent2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119"/>
      </w:tblGrid>
      <w:tr w:rsidR="00DF13AA" w14:paraId="6C2BDC22" w14:textId="77777777" w:rsidTr="00574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 w:val="restart"/>
          </w:tcPr>
          <w:p w14:paraId="2207C14A" w14:textId="6FF3320A" w:rsidR="00DF13AA" w:rsidRPr="00551D53" w:rsidRDefault="00DF13AA" w:rsidP="0057496C">
            <w:pPr>
              <w:spacing w:line="360" w:lineRule="auto"/>
              <w:rPr>
                <w:b w:val="0"/>
                <w:bCs w:val="0"/>
              </w:rPr>
            </w:pPr>
            <w:r>
              <w:t>Weitere Zusatzleistungen</w:t>
            </w:r>
          </w:p>
        </w:tc>
        <w:tc>
          <w:tcPr>
            <w:tcW w:w="4529" w:type="dxa"/>
            <w:gridSpan w:val="2"/>
          </w:tcPr>
          <w:p w14:paraId="1E8EED21" w14:textId="3B530161" w:rsidR="00DF13AA" w:rsidRDefault="00DF13AA" w:rsidP="00DF13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€/Vorgang</w:t>
            </w:r>
          </w:p>
        </w:tc>
      </w:tr>
      <w:tr w:rsidR="00DF13AA" w14:paraId="5966A8C1" w14:textId="77777777" w:rsidTr="00574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/>
          </w:tcPr>
          <w:p w14:paraId="69A8F9B0" w14:textId="77777777" w:rsidR="00DF13AA" w:rsidRDefault="00DF13AA" w:rsidP="0057496C">
            <w:pPr>
              <w:spacing w:line="360" w:lineRule="auto"/>
            </w:pPr>
          </w:p>
        </w:tc>
        <w:tc>
          <w:tcPr>
            <w:tcW w:w="2410" w:type="dxa"/>
          </w:tcPr>
          <w:p w14:paraId="127FC02A" w14:textId="77777777" w:rsidR="00DF13AA" w:rsidRDefault="00DF13AA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netto</w:t>
            </w:r>
            <w:r w:rsidRPr="00551D53">
              <w:rPr>
                <w:vertAlign w:val="superscript"/>
              </w:rPr>
              <w:t>1</w:t>
            </w:r>
          </w:p>
        </w:tc>
        <w:tc>
          <w:tcPr>
            <w:tcW w:w="2119" w:type="dxa"/>
          </w:tcPr>
          <w:p w14:paraId="49FBBBF6" w14:textId="77777777" w:rsidR="00DF13AA" w:rsidRDefault="00DF13AA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brutto</w:t>
            </w:r>
            <w:r w:rsidRPr="00551D53">
              <w:rPr>
                <w:vertAlign w:val="superscript"/>
              </w:rPr>
              <w:t>2</w:t>
            </w:r>
          </w:p>
        </w:tc>
      </w:tr>
      <w:tr w:rsidR="00DF13AA" w14:paraId="247DED84" w14:textId="77777777" w:rsidTr="00574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64CC87" w14:textId="0C46C1D3" w:rsidR="00DF13AA" w:rsidRDefault="00DF13AA" w:rsidP="0057496C">
            <w:pPr>
              <w:spacing w:line="360" w:lineRule="auto"/>
            </w:pPr>
            <w:r>
              <w:t>Änderung der Schaltzeiten am Tarifschaltgerät</w:t>
            </w:r>
          </w:p>
        </w:tc>
        <w:tc>
          <w:tcPr>
            <w:tcW w:w="2410" w:type="dxa"/>
          </w:tcPr>
          <w:p w14:paraId="00073DC6" w14:textId="0FF36599" w:rsidR="00DF13AA" w:rsidRDefault="00DF13AA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34,70</w:t>
            </w:r>
          </w:p>
        </w:tc>
        <w:tc>
          <w:tcPr>
            <w:tcW w:w="2119" w:type="dxa"/>
          </w:tcPr>
          <w:p w14:paraId="30D98988" w14:textId="75E7F9E6" w:rsidR="00DF13AA" w:rsidRDefault="00DF13AA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41,29</w:t>
            </w:r>
          </w:p>
        </w:tc>
      </w:tr>
      <w:tr w:rsidR="00DF13AA" w14:paraId="21116EB9" w14:textId="77777777" w:rsidTr="00DF1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6A5012A9" w14:textId="6EA362A5" w:rsidR="00DF13AA" w:rsidRDefault="00DF13AA" w:rsidP="0057496C">
            <w:pPr>
              <w:spacing w:line="360" w:lineRule="auto"/>
            </w:pPr>
            <w:r>
              <w:t>Zusätzliche Messwerterfassung</w:t>
            </w:r>
          </w:p>
        </w:tc>
        <w:tc>
          <w:tcPr>
            <w:tcW w:w="2410" w:type="dxa"/>
            <w:shd w:val="clear" w:color="auto" w:fill="auto"/>
          </w:tcPr>
          <w:p w14:paraId="1CE8DB0D" w14:textId="3C7A988A" w:rsidR="00DF13AA" w:rsidRDefault="00891D48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1,95</w:t>
            </w:r>
          </w:p>
        </w:tc>
        <w:tc>
          <w:tcPr>
            <w:tcW w:w="2119" w:type="dxa"/>
            <w:shd w:val="clear" w:color="auto" w:fill="auto"/>
          </w:tcPr>
          <w:p w14:paraId="2C284CA7" w14:textId="4D566558" w:rsidR="00DF13AA" w:rsidRDefault="00891D48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2,32</w:t>
            </w:r>
          </w:p>
        </w:tc>
      </w:tr>
      <w:tr w:rsidR="00DF13AA" w14:paraId="14E323B9" w14:textId="77777777" w:rsidTr="00DF1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1CEB1D14" w14:textId="2D2CD4AC" w:rsidR="00DF13AA" w:rsidRDefault="00DF13AA" w:rsidP="0057496C">
            <w:pPr>
              <w:spacing w:line="360" w:lineRule="auto"/>
            </w:pPr>
            <w:r>
              <w:t>Mahnung</w:t>
            </w:r>
          </w:p>
        </w:tc>
        <w:tc>
          <w:tcPr>
            <w:tcW w:w="2410" w:type="dxa"/>
            <w:shd w:val="clear" w:color="auto" w:fill="auto"/>
          </w:tcPr>
          <w:p w14:paraId="02C74E7A" w14:textId="314E1375" w:rsidR="00DF13AA" w:rsidRDefault="00891D48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2,55</w:t>
            </w:r>
            <w:r w:rsidR="00DF13AA" w:rsidRPr="00DF13AA">
              <w:rPr>
                <w:vertAlign w:val="superscript"/>
              </w:rPr>
              <w:t>3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331A595D" w14:textId="77777777" w:rsidR="00DF13AA" w:rsidRDefault="00DF13AA" w:rsidP="00574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13AA" w14:paraId="08DF16EF" w14:textId="77777777" w:rsidTr="00DF1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47A2622A" w14:textId="344A8D66" w:rsidR="00DF13AA" w:rsidRDefault="00DF13AA" w:rsidP="0057496C">
            <w:pPr>
              <w:spacing w:line="360" w:lineRule="auto"/>
            </w:pPr>
            <w:r>
              <w:t>Nachinkasso</w:t>
            </w:r>
          </w:p>
        </w:tc>
        <w:tc>
          <w:tcPr>
            <w:tcW w:w="2410" w:type="dxa"/>
            <w:shd w:val="clear" w:color="auto" w:fill="auto"/>
          </w:tcPr>
          <w:p w14:paraId="3B9CCC82" w14:textId="1AFE17B4" w:rsidR="00DF13AA" w:rsidRDefault="00891D48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  <w:r w:rsidR="00DF13AA">
              <w:t>,00</w:t>
            </w:r>
            <w:r w:rsidR="00DF13AA" w:rsidRPr="00DF13AA">
              <w:rPr>
                <w:vertAlign w:val="superscript"/>
              </w:rPr>
              <w:t>3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095E7C9C" w14:textId="77777777" w:rsidR="00DF13AA" w:rsidRDefault="00DF13AA" w:rsidP="00574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97F7BC" w14:textId="77777777" w:rsidR="00DF13AA" w:rsidRDefault="00DF13AA" w:rsidP="00527C8D">
      <w:pPr>
        <w:spacing w:after="0" w:line="360" w:lineRule="auto"/>
      </w:pPr>
    </w:p>
    <w:p w14:paraId="6BD74C98" w14:textId="596FF481" w:rsidR="00DF13AA" w:rsidRPr="00527C8D" w:rsidRDefault="00DF13AA" w:rsidP="00527C8D">
      <w:pPr>
        <w:spacing w:after="0" w:line="360" w:lineRule="auto"/>
      </w:pPr>
      <w:r>
        <w:t>Bei Bedarf an weiteren Zusatzleistungen können Sie sich gern mit uns in Verbindung setzen. Ein entsprechendes Produkt wird dann für Sie kalkuliert und anschließend diskriminierungsfrei allen Marktpartnern angeboten.</w:t>
      </w:r>
    </w:p>
    <w:sectPr w:rsidR="00DF13AA" w:rsidRPr="00527C8D" w:rsidSect="00F63473">
      <w:footerReference w:type="default" r:id="rId10"/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6664" w14:textId="77777777" w:rsidR="006B760B" w:rsidRDefault="006B760B" w:rsidP="00530671">
      <w:pPr>
        <w:spacing w:after="0" w:line="240" w:lineRule="auto"/>
      </w:pPr>
      <w:r>
        <w:separator/>
      </w:r>
    </w:p>
  </w:endnote>
  <w:endnote w:type="continuationSeparator" w:id="0">
    <w:p w14:paraId="72CEF02E" w14:textId="77777777" w:rsidR="006B760B" w:rsidRDefault="006B760B" w:rsidP="005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01D1" w14:textId="67274BEA" w:rsidR="00E72EE6" w:rsidRPr="00E72EE6" w:rsidRDefault="00E72EE6">
    <w:pPr>
      <w:pStyle w:val="Fuzeile"/>
      <w:rPr>
        <w:sz w:val="18"/>
        <w:szCs w:val="18"/>
      </w:rPr>
    </w:pPr>
    <w:r w:rsidRPr="00E72EE6">
      <w:rPr>
        <w:sz w:val="18"/>
        <w:szCs w:val="18"/>
      </w:rPr>
      <w:t>1 ohne Umsatzsteuer</w:t>
    </w:r>
  </w:p>
  <w:p w14:paraId="0F3C47FB" w14:textId="5CD035A5" w:rsidR="00E72EE6" w:rsidRPr="00E72EE6" w:rsidRDefault="00E72EE6">
    <w:pPr>
      <w:pStyle w:val="Fuzeile"/>
      <w:rPr>
        <w:sz w:val="18"/>
        <w:szCs w:val="18"/>
      </w:rPr>
    </w:pPr>
    <w:r w:rsidRPr="00E72EE6">
      <w:rPr>
        <w:sz w:val="18"/>
        <w:szCs w:val="18"/>
      </w:rPr>
      <w:t>2 mit Umsatzsteuer (19 %)</w:t>
    </w:r>
  </w:p>
  <w:p w14:paraId="30FDE322" w14:textId="4A881B1B" w:rsidR="00E72EE6" w:rsidRPr="00E72EE6" w:rsidRDefault="00E72EE6">
    <w:pPr>
      <w:pStyle w:val="Fuzeile"/>
      <w:rPr>
        <w:sz w:val="18"/>
        <w:szCs w:val="18"/>
      </w:rPr>
    </w:pPr>
    <w:r w:rsidRPr="00E72EE6">
      <w:rPr>
        <w:sz w:val="18"/>
        <w:szCs w:val="18"/>
      </w:rPr>
      <w:t>3 umsatzsteuerfrei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2DB4" w14:textId="77777777" w:rsidR="006B760B" w:rsidRDefault="006B760B" w:rsidP="00530671">
      <w:pPr>
        <w:spacing w:after="0" w:line="240" w:lineRule="auto"/>
      </w:pPr>
      <w:r>
        <w:separator/>
      </w:r>
    </w:p>
  </w:footnote>
  <w:footnote w:type="continuationSeparator" w:id="0">
    <w:p w14:paraId="6E86AE87" w14:textId="77777777" w:rsidR="006B760B" w:rsidRDefault="006B760B" w:rsidP="0053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1DA"/>
    <w:multiLevelType w:val="hybridMultilevel"/>
    <w:tmpl w:val="EC1EEF2E"/>
    <w:lvl w:ilvl="0" w:tplc="C9A40EE6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3D71"/>
    <w:multiLevelType w:val="hybridMultilevel"/>
    <w:tmpl w:val="CF1C11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F325F"/>
    <w:multiLevelType w:val="hybridMultilevel"/>
    <w:tmpl w:val="722ED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4D96"/>
    <w:multiLevelType w:val="hybridMultilevel"/>
    <w:tmpl w:val="8F401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11722"/>
    <w:multiLevelType w:val="hybridMultilevel"/>
    <w:tmpl w:val="6AC80B7E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7873238">
    <w:abstractNumId w:val="4"/>
  </w:num>
  <w:num w:numId="2" w16cid:durableId="1020279615">
    <w:abstractNumId w:val="1"/>
  </w:num>
  <w:num w:numId="3" w16cid:durableId="27033455">
    <w:abstractNumId w:val="0"/>
  </w:num>
  <w:num w:numId="4" w16cid:durableId="339164351">
    <w:abstractNumId w:val="2"/>
  </w:num>
  <w:num w:numId="5" w16cid:durableId="85296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3"/>
    <w:rsid w:val="00016C83"/>
    <w:rsid w:val="00022A87"/>
    <w:rsid w:val="000308EB"/>
    <w:rsid w:val="000606B1"/>
    <w:rsid w:val="0006386C"/>
    <w:rsid w:val="00082B60"/>
    <w:rsid w:val="000B16FB"/>
    <w:rsid w:val="000C31BE"/>
    <w:rsid w:val="00114933"/>
    <w:rsid w:val="00176167"/>
    <w:rsid w:val="00181825"/>
    <w:rsid w:val="00190608"/>
    <w:rsid w:val="002544E5"/>
    <w:rsid w:val="0025747F"/>
    <w:rsid w:val="002832D3"/>
    <w:rsid w:val="002E35EB"/>
    <w:rsid w:val="00395AEC"/>
    <w:rsid w:val="003C011A"/>
    <w:rsid w:val="00430769"/>
    <w:rsid w:val="004B1449"/>
    <w:rsid w:val="0051456F"/>
    <w:rsid w:val="00515E2B"/>
    <w:rsid w:val="00527C8D"/>
    <w:rsid w:val="00530671"/>
    <w:rsid w:val="00551D53"/>
    <w:rsid w:val="00562D33"/>
    <w:rsid w:val="00582A93"/>
    <w:rsid w:val="005848EE"/>
    <w:rsid w:val="005A541A"/>
    <w:rsid w:val="00650845"/>
    <w:rsid w:val="006562D5"/>
    <w:rsid w:val="00667448"/>
    <w:rsid w:val="0068400F"/>
    <w:rsid w:val="00684A03"/>
    <w:rsid w:val="006B760B"/>
    <w:rsid w:val="006C6784"/>
    <w:rsid w:val="006C6995"/>
    <w:rsid w:val="007271A3"/>
    <w:rsid w:val="007A00AC"/>
    <w:rsid w:val="007B62E1"/>
    <w:rsid w:val="007E7C51"/>
    <w:rsid w:val="00812C05"/>
    <w:rsid w:val="00842068"/>
    <w:rsid w:val="00867BE8"/>
    <w:rsid w:val="00891D48"/>
    <w:rsid w:val="008956C8"/>
    <w:rsid w:val="008C67DA"/>
    <w:rsid w:val="008F00E6"/>
    <w:rsid w:val="00904352"/>
    <w:rsid w:val="0092511B"/>
    <w:rsid w:val="00976AA4"/>
    <w:rsid w:val="009A4C4A"/>
    <w:rsid w:val="009B09AE"/>
    <w:rsid w:val="00A000A2"/>
    <w:rsid w:val="00A34B6C"/>
    <w:rsid w:val="00A57864"/>
    <w:rsid w:val="00B0522D"/>
    <w:rsid w:val="00C022E6"/>
    <w:rsid w:val="00CA6578"/>
    <w:rsid w:val="00CF1830"/>
    <w:rsid w:val="00D20503"/>
    <w:rsid w:val="00D7551F"/>
    <w:rsid w:val="00DB7CC5"/>
    <w:rsid w:val="00DC1EDA"/>
    <w:rsid w:val="00DC5E36"/>
    <w:rsid w:val="00DF11E1"/>
    <w:rsid w:val="00DF13AA"/>
    <w:rsid w:val="00E72EE6"/>
    <w:rsid w:val="00EC5278"/>
    <w:rsid w:val="00F178EA"/>
    <w:rsid w:val="00F63473"/>
    <w:rsid w:val="00F7392F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61AEB0"/>
  <w15:chartTrackingRefBased/>
  <w15:docId w15:val="{6308A5FD-0C26-4067-A22C-0C62A093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F6347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011A"/>
    <w:rPr>
      <w:color w:val="B7C7D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011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F63473"/>
    <w:rPr>
      <w:rFonts w:ascii="Arial" w:eastAsia="Times New Roman" w:hAnsi="Arial" w:cs="Times New Roman"/>
      <w:b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F634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6347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671"/>
  </w:style>
  <w:style w:type="paragraph" w:styleId="Fuzeile">
    <w:name w:val="footer"/>
    <w:basedOn w:val="Standard"/>
    <w:link w:val="FuzeileZchn"/>
    <w:uiPriority w:val="99"/>
    <w:unhideWhenUsed/>
    <w:rsid w:val="005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671"/>
  </w:style>
  <w:style w:type="paragraph" w:styleId="Listenabsatz">
    <w:name w:val="List Paragraph"/>
    <w:basedOn w:val="Standard"/>
    <w:uiPriority w:val="34"/>
    <w:qFormat/>
    <w:rsid w:val="000C31BE"/>
    <w:pPr>
      <w:ind w:left="720"/>
      <w:contextualSpacing/>
    </w:pPr>
  </w:style>
  <w:style w:type="table" w:styleId="Tabellenraster">
    <w:name w:val="Table Grid"/>
    <w:basedOn w:val="NormaleTabelle"/>
    <w:uiPriority w:val="39"/>
    <w:rsid w:val="0055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2">
    <w:name w:val="Grid Table 4 Accent 2"/>
    <w:basedOn w:val="NormaleTabelle"/>
    <w:uiPriority w:val="49"/>
    <w:rsid w:val="00551D53"/>
    <w:pPr>
      <w:spacing w:after="0" w:line="240" w:lineRule="auto"/>
    </w:pPr>
    <w:tblPr>
      <w:tblStyleRowBandSize w:val="1"/>
      <w:tblStyleColBandSize w:val="1"/>
      <w:tblBorders>
        <w:top w:val="single" w:sz="4" w:space="0" w:color="FFB05D" w:themeColor="accent2" w:themeTint="99"/>
        <w:left w:val="single" w:sz="4" w:space="0" w:color="FFB05D" w:themeColor="accent2" w:themeTint="99"/>
        <w:bottom w:val="single" w:sz="4" w:space="0" w:color="FFB05D" w:themeColor="accent2" w:themeTint="99"/>
        <w:right w:val="single" w:sz="4" w:space="0" w:color="FFB05D" w:themeColor="accent2" w:themeTint="99"/>
        <w:insideH w:val="single" w:sz="4" w:space="0" w:color="FFB05D" w:themeColor="accent2" w:themeTint="99"/>
        <w:insideV w:val="single" w:sz="4" w:space="0" w:color="FFB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D00" w:themeColor="accent2"/>
          <w:left w:val="single" w:sz="4" w:space="0" w:color="F07D00" w:themeColor="accent2"/>
          <w:bottom w:val="single" w:sz="4" w:space="0" w:color="F07D00" w:themeColor="accent2"/>
          <w:right w:val="single" w:sz="4" w:space="0" w:color="F07D00" w:themeColor="accent2"/>
          <w:insideH w:val="nil"/>
          <w:insideV w:val="nil"/>
        </w:tcBorders>
        <w:shd w:val="clear" w:color="auto" w:fill="F07D00" w:themeFill="accent2"/>
      </w:tcPr>
    </w:tblStylePr>
    <w:tblStylePr w:type="lastRow">
      <w:rPr>
        <w:b/>
        <w:bCs/>
      </w:rPr>
      <w:tblPr/>
      <w:tcPr>
        <w:tcBorders>
          <w:top w:val="double" w:sz="4" w:space="0" w:color="F07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9" w:themeFill="accent2" w:themeFillTint="33"/>
      </w:tcPr>
    </w:tblStylePr>
    <w:tblStylePr w:type="band1Horz">
      <w:tblPr/>
      <w:tcPr>
        <w:shd w:val="clear" w:color="auto" w:fill="FFE4C9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Stadtwerke_Schwarzenberg">
  <a:themeElements>
    <a:clrScheme name="CD Stadtwerke Schwarzenber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0018"/>
      </a:accent1>
      <a:accent2>
        <a:srgbClr val="F07D00"/>
      </a:accent2>
      <a:accent3>
        <a:srgbClr val="557483"/>
      </a:accent3>
      <a:accent4>
        <a:srgbClr val="FFDD00"/>
      </a:accent4>
      <a:accent5>
        <a:srgbClr val="7C96A4"/>
      </a:accent5>
      <a:accent6>
        <a:srgbClr val="70AD47"/>
      </a:accent6>
      <a:hlink>
        <a:srgbClr val="B7C7D1"/>
      </a:hlink>
      <a:folHlink>
        <a:srgbClr val="50A092"/>
      </a:folHlink>
    </a:clrScheme>
    <a:fontScheme name="SW intern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28AB-8EA2-4047-ADF4-6390E5D4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Lässig, Sarah</dc:creator>
  <cp:keywords/>
  <dc:description/>
  <cp:lastModifiedBy>Lässig, Sarah</cp:lastModifiedBy>
  <cp:revision>2</cp:revision>
  <dcterms:created xsi:type="dcterms:W3CDTF">2023-12-07T06:47:00Z</dcterms:created>
  <dcterms:modified xsi:type="dcterms:W3CDTF">2023-12-07T06:47:00Z</dcterms:modified>
</cp:coreProperties>
</file>